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7A" w:rsidRPr="00D24F7A" w:rsidRDefault="00D24F7A" w:rsidP="00D24F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  <w:lang w:val="fr-FR"/>
        </w:rPr>
      </w:pPr>
      <w:r w:rsidRPr="00D24F7A">
        <w:rPr>
          <w:rFonts w:ascii="TimesNewRoman" w:hAnsi="TimesNewRoman" w:cs="TimesNewRoman"/>
          <w:b/>
          <w:bCs/>
          <w:sz w:val="28"/>
          <w:szCs w:val="28"/>
          <w:lang w:val="fr-FR"/>
        </w:rPr>
        <w:t>ȘCOALA GIMNAZIALA ”HORIA STAMATIN” BOGDANESTI</w:t>
      </w:r>
    </w:p>
    <w:p w:rsidR="00D24F7A" w:rsidRPr="00D24F7A" w:rsidRDefault="00D24F7A" w:rsidP="00D24F7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8"/>
          <w:szCs w:val="28"/>
          <w:lang w:val="fr-FR"/>
        </w:rPr>
      </w:pPr>
      <w:r w:rsidRPr="00D24F7A">
        <w:rPr>
          <w:rFonts w:ascii="TimesNewRoman" w:hAnsi="TimesNewRoman" w:cs="TimesNewRoman"/>
          <w:b/>
          <w:bCs/>
          <w:sz w:val="28"/>
          <w:szCs w:val="28"/>
          <w:lang w:val="fr-FR"/>
        </w:rPr>
        <w:t>NR…………</w:t>
      </w:r>
      <w:proofErr w:type="gramStart"/>
      <w:r w:rsidRPr="00D24F7A">
        <w:rPr>
          <w:rFonts w:ascii="TimesNewRoman" w:hAnsi="TimesNewRoman" w:cs="TimesNewRoman"/>
          <w:b/>
          <w:bCs/>
          <w:sz w:val="28"/>
          <w:szCs w:val="28"/>
          <w:lang w:val="fr-FR"/>
        </w:rPr>
        <w:t>./</w:t>
      </w:r>
      <w:proofErr w:type="gramEnd"/>
      <w:r>
        <w:rPr>
          <w:rFonts w:ascii="TimesNewRoman" w:hAnsi="TimesNewRoman" w:cs="TimesNewRoman"/>
          <w:b/>
          <w:bCs/>
          <w:sz w:val="28"/>
          <w:szCs w:val="28"/>
          <w:lang w:val="fr-FR"/>
        </w:rPr>
        <w:t>……………..</w:t>
      </w:r>
    </w:p>
    <w:p w:rsidR="00D24F7A" w:rsidRPr="00D24F7A" w:rsidRDefault="00D24F7A" w:rsidP="00DE3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  <w:lang w:val="fr-FR"/>
        </w:rPr>
      </w:pPr>
    </w:p>
    <w:p w:rsidR="00D24F7A" w:rsidRPr="00D24F7A" w:rsidRDefault="00D24F7A" w:rsidP="00DE3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  <w:lang w:val="fr-FR"/>
        </w:rPr>
      </w:pPr>
    </w:p>
    <w:p w:rsidR="00DE30D3" w:rsidRPr="00D24F7A" w:rsidRDefault="00B40B7A" w:rsidP="00DE3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  <w:lang w:val="fr-FR"/>
        </w:rPr>
      </w:pPr>
      <w:r w:rsidRPr="00D24F7A">
        <w:rPr>
          <w:rFonts w:ascii="TimesNewRoman" w:hAnsi="TimesNewRoman" w:cs="TimesNewRoman"/>
          <w:b/>
          <w:bCs/>
          <w:sz w:val="28"/>
          <w:szCs w:val="28"/>
          <w:lang w:val="fr-FR"/>
        </w:rPr>
        <w:t>PROCES-</w:t>
      </w:r>
      <w:r w:rsidR="00DE30D3" w:rsidRPr="00D24F7A">
        <w:rPr>
          <w:rFonts w:ascii="TimesNewRoman" w:hAnsi="TimesNewRoman" w:cs="TimesNewRoman"/>
          <w:b/>
          <w:bCs/>
          <w:sz w:val="28"/>
          <w:szCs w:val="28"/>
          <w:lang w:val="fr-FR"/>
        </w:rPr>
        <w:t>VERBAL,</w:t>
      </w:r>
    </w:p>
    <w:p w:rsidR="00D96CEC" w:rsidRPr="00D24F7A" w:rsidRDefault="00D96CEC" w:rsidP="00DE30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  <w:sz w:val="28"/>
          <w:szCs w:val="28"/>
          <w:lang w:val="fr-FR"/>
        </w:rPr>
      </w:pPr>
    </w:p>
    <w:p w:rsidR="00DE30D3" w:rsidRPr="00DE30D3" w:rsidRDefault="00DE30D3" w:rsidP="00AD6214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NewRoman" w:hAnsi="TimesNewRoman" w:cs="TimesNewRoman"/>
          <w:sz w:val="23"/>
          <w:szCs w:val="23"/>
          <w:lang w:val="ro-RO"/>
        </w:rPr>
      </w:pP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Încheiat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astăzi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......................................, </w:t>
      </w:r>
      <w:r w:rsidR="00D24F7A">
        <w:rPr>
          <w:rFonts w:ascii="TimesNewRoman" w:hAnsi="TimesNewRoman" w:cs="TimesNewRoman"/>
          <w:sz w:val="23"/>
          <w:szCs w:val="23"/>
          <w:lang w:val="fr-FR"/>
        </w:rPr>
        <w:t xml:space="preserve">la </w:t>
      </w:r>
      <w:proofErr w:type="spellStart"/>
      <w:r w:rsidR="00D24F7A">
        <w:rPr>
          <w:rFonts w:ascii="TimesNewRoman" w:hAnsi="TimesNewRoman" w:cs="TimesNewRoman"/>
          <w:sz w:val="23"/>
          <w:szCs w:val="23"/>
          <w:lang w:val="fr-FR"/>
        </w:rPr>
        <w:t>Școala</w:t>
      </w:r>
      <w:proofErr w:type="spellEnd"/>
      <w:r w:rsidR="00D24F7A">
        <w:rPr>
          <w:rFonts w:ascii="TimesNewRoman" w:hAnsi="TimesNewRoman" w:cs="TimesNewRoman"/>
          <w:sz w:val="23"/>
          <w:szCs w:val="23"/>
          <w:lang w:val="fr-FR"/>
        </w:rPr>
        <w:t>………………..</w:t>
      </w:r>
      <w:proofErr w:type="spellStart"/>
      <w:r w:rsidR="00D24F7A">
        <w:rPr>
          <w:rFonts w:ascii="TimesNewRoman" w:hAnsi="TimesNewRoman" w:cs="TimesNewRoman"/>
          <w:sz w:val="23"/>
          <w:szCs w:val="23"/>
          <w:lang w:val="fr-FR"/>
        </w:rPr>
        <w:t>din</w:t>
      </w:r>
      <w:proofErr w:type="spellEnd"/>
      <w:r w:rsidR="00D24F7A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="00D24F7A">
        <w:rPr>
          <w:rFonts w:ascii="TimesNewRoman" w:hAnsi="TimesNewRoman" w:cs="TimesNewRoman"/>
          <w:sz w:val="23"/>
          <w:szCs w:val="23"/>
          <w:lang w:val="fr-FR"/>
        </w:rPr>
        <w:t>localiatea</w:t>
      </w:r>
      <w:proofErr w:type="spellEnd"/>
      <w:r w:rsidR="00D24F7A">
        <w:rPr>
          <w:rFonts w:ascii="TimesNewRoman" w:hAnsi="TimesNewRoman" w:cs="TimesNewRoman"/>
          <w:sz w:val="23"/>
          <w:szCs w:val="23"/>
          <w:lang w:val="fr-FR"/>
        </w:rPr>
        <w:t xml:space="preserve"> ……………</w:t>
      </w:r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în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urma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activităţii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de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predare-primire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gramStart"/>
      <w:r w:rsidRPr="006663F1">
        <w:rPr>
          <w:rFonts w:ascii="TimesNewRoman" w:hAnsi="TimesNewRoman" w:cs="TimesNewRoman"/>
          <w:sz w:val="23"/>
          <w:szCs w:val="23"/>
          <w:lang w:val="fr-FR"/>
        </w:rPr>
        <w:t>a</w:t>
      </w:r>
      <w:proofErr w:type="gram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sălii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de </w:t>
      </w:r>
      <w:proofErr w:type="spellStart"/>
      <w:r w:rsidR="00956966" w:rsidRPr="006663F1">
        <w:rPr>
          <w:rFonts w:ascii="TimesNewRoman" w:hAnsi="TimesNewRoman" w:cs="TimesNewRoman"/>
          <w:sz w:val="23"/>
          <w:szCs w:val="23"/>
          <w:lang w:val="fr-FR"/>
        </w:rPr>
        <w:t>clasă</w:t>
      </w:r>
      <w:proofErr w:type="spellEnd"/>
      <w:r w:rsidR="00956966"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>a</w:t>
      </w:r>
      <w:r w:rsidR="00956966" w:rsidRPr="006663F1">
        <w:rPr>
          <w:rFonts w:ascii="TimesNewRoman" w:hAnsi="TimesNewRoman" w:cs="TimesNewRoman"/>
          <w:sz w:val="23"/>
          <w:szCs w:val="23"/>
          <w:lang w:val="fr-FR"/>
        </w:rPr>
        <w:t xml:space="preserve"> D</w:t>
      </w:r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>-</w:t>
      </w:r>
      <w:r w:rsidR="00956966" w:rsidRPr="006663F1">
        <w:rPr>
          <w:rFonts w:ascii="TimesNewRoman" w:hAnsi="TimesNewRoman" w:cs="TimesNewRoman"/>
          <w:sz w:val="23"/>
          <w:szCs w:val="23"/>
          <w:lang w:val="fr-FR"/>
        </w:rPr>
        <w:t>lui/D-</w:t>
      </w:r>
      <w:proofErr w:type="spellStart"/>
      <w:r w:rsidR="00956966" w:rsidRPr="006663F1">
        <w:rPr>
          <w:rFonts w:ascii="TimesNewRoman" w:hAnsi="TimesNewRoman" w:cs="TimesNewRoman"/>
          <w:sz w:val="23"/>
          <w:szCs w:val="23"/>
          <w:lang w:val="fr-FR"/>
        </w:rPr>
        <w:t>nei</w:t>
      </w:r>
      <w:proofErr w:type="spellEnd"/>
      <w:r w:rsidRPr="006663F1">
        <w:rPr>
          <w:rFonts w:ascii="TimesNewRoman" w:hAnsi="TimesNewRoman" w:cs="TimesNewRoman"/>
          <w:sz w:val="23"/>
          <w:szCs w:val="23"/>
          <w:lang w:val="fr-FR"/>
        </w:rPr>
        <w:t xml:space="preserve"> prof. </w:t>
      </w:r>
      <w:proofErr w:type="spellStart"/>
      <w:r w:rsidRPr="006663F1">
        <w:rPr>
          <w:rFonts w:ascii="TimesNewRoman" w:hAnsi="TimesNewRoman" w:cs="TimesNewRoman"/>
          <w:sz w:val="23"/>
          <w:szCs w:val="23"/>
          <w:lang w:val="fr-FR"/>
        </w:rPr>
        <w:t>diriginte</w:t>
      </w:r>
      <w:proofErr w:type="spellEnd"/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 xml:space="preserve"> / </w:t>
      </w:r>
      <w:proofErr w:type="spellStart"/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>învățător</w:t>
      </w:r>
      <w:proofErr w:type="spellEnd"/>
      <w:r w:rsidR="00AD6214" w:rsidRPr="006663F1">
        <w:rPr>
          <w:rFonts w:ascii="TimesNewRoman" w:hAnsi="TimesNewRoman" w:cs="TimesNewRoman"/>
          <w:sz w:val="23"/>
          <w:szCs w:val="23"/>
          <w:lang w:val="fr-FR"/>
        </w:rPr>
        <w:t xml:space="preserve"> </w:t>
      </w:r>
      <w:proofErr w:type="gramStart"/>
      <w:r w:rsidRPr="006663F1">
        <w:rPr>
          <w:rFonts w:ascii="TimesNewRoman" w:hAnsi="TimesNewRoman" w:cs="TimesNewRoman"/>
          <w:sz w:val="23"/>
          <w:szCs w:val="23"/>
          <w:lang w:val="fr-FR"/>
        </w:rPr>
        <w:t>…</w:t>
      </w:r>
      <w:r>
        <w:rPr>
          <w:rFonts w:ascii="TimesNewRoman" w:hAnsi="TimesNewRoman" w:cs="TimesNewRoman"/>
          <w:sz w:val="23"/>
          <w:szCs w:val="23"/>
          <w:lang w:val="ro-RO"/>
        </w:rPr>
        <w:t>.............................................</w:t>
      </w:r>
      <w:r w:rsidR="00F7662F">
        <w:rPr>
          <w:rFonts w:ascii="TimesNewRoman" w:hAnsi="TimesNewRoman" w:cs="TimesNewRoman"/>
          <w:sz w:val="23"/>
          <w:szCs w:val="23"/>
          <w:lang w:val="ro-RO"/>
        </w:rPr>
        <w:t>............,</w:t>
      </w:r>
      <w:r w:rsidR="00D24F7A">
        <w:rPr>
          <w:rFonts w:ascii="TimesNewRoman" w:hAnsi="TimesNewRoman" w:cs="TimesNewRoman"/>
          <w:sz w:val="23"/>
          <w:szCs w:val="23"/>
          <w:lang w:val="ro-RO"/>
        </w:rPr>
        <w:t>………..al</w:t>
      </w:r>
      <w:proofErr w:type="gramEnd"/>
      <w:r w:rsidR="00D24F7A">
        <w:rPr>
          <w:rFonts w:ascii="TimesNewRoman" w:hAnsi="TimesNewRoman" w:cs="TimesNewRoman"/>
          <w:sz w:val="23"/>
          <w:szCs w:val="23"/>
          <w:lang w:val="ro-RO"/>
        </w:rPr>
        <w:t xml:space="preserve">       clasei a ......</w:t>
      </w:r>
      <w:r w:rsidR="00F7662F">
        <w:rPr>
          <w:rFonts w:ascii="TimesNewRoman" w:hAnsi="TimesNewRoman" w:cs="TimesNewRoman"/>
          <w:sz w:val="23"/>
          <w:szCs w:val="23"/>
          <w:lang w:val="ro-RO"/>
        </w:rPr>
        <w:t>..</w:t>
      </w:r>
    </w:p>
    <w:p w:rsidR="00DE30D3" w:rsidRDefault="00DE30D3" w:rsidP="00D96CEC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NewRoman" w:hAnsi="TimesNewRoman" w:cs="TimesNewRoman"/>
          <w:sz w:val="23"/>
          <w:szCs w:val="23"/>
        </w:rPr>
      </w:pPr>
      <w:proofErr w:type="spellStart"/>
      <w:r>
        <w:rPr>
          <w:rFonts w:ascii="TimesNewRoman" w:hAnsi="TimesNewRoman" w:cs="TimesNewRoman"/>
          <w:sz w:val="23"/>
          <w:szCs w:val="23"/>
        </w:rPr>
        <w:t>Bunurile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materiale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existente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în</w:t>
      </w:r>
      <w:proofErr w:type="spellEnd"/>
      <w:r w:rsidR="00F7662F"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 w:rsidR="00F7662F">
        <w:rPr>
          <w:rFonts w:ascii="TimesNewRoman" w:hAnsi="TimesNewRoman" w:cs="TimesNewRoman"/>
          <w:sz w:val="23"/>
          <w:szCs w:val="23"/>
        </w:rPr>
        <w:t>clasă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sunt</w:t>
      </w:r>
      <w:proofErr w:type="spellEnd"/>
      <w:r>
        <w:rPr>
          <w:rFonts w:ascii="TimesNewRoman" w:hAnsi="TimesNewRoman" w:cs="TimesNewRoman"/>
          <w:sz w:val="23"/>
          <w:szCs w:val="23"/>
        </w:rPr>
        <w:t>:</w:t>
      </w:r>
    </w:p>
    <w:p w:rsidR="00DE30D3" w:rsidRDefault="00DE30D3" w:rsidP="00D96C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..................bănci;</w:t>
      </w:r>
    </w:p>
    <w:p w:rsidR="00DE30D3" w:rsidRDefault="00DE30D3" w:rsidP="00D96C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..................scaune;</w:t>
      </w:r>
    </w:p>
    <w:p w:rsidR="00C047AE" w:rsidRDefault="00C047AE" w:rsidP="00D96C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…………..dulapuri;</w:t>
      </w:r>
    </w:p>
    <w:p w:rsidR="00DE30D3" w:rsidRDefault="00DE30D3" w:rsidP="00D96C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1 catedră;</w:t>
      </w:r>
    </w:p>
    <w:p w:rsidR="00DE30D3" w:rsidRDefault="00656826" w:rsidP="00D96C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1 scaun </w:t>
      </w:r>
      <w:r w:rsidR="00DE30D3" w:rsidRPr="00DE30D3">
        <w:rPr>
          <w:rFonts w:ascii="Times New Roman" w:eastAsiaTheme="minorHAnsi" w:hAnsi="Times New Roman" w:cs="Times New Roman"/>
          <w:sz w:val="24"/>
          <w:szCs w:val="24"/>
          <w:lang w:val="ro-RO"/>
        </w:rPr>
        <w:t>cated</w:t>
      </w:r>
      <w:r w:rsidR="00DE30D3">
        <w:rPr>
          <w:rFonts w:ascii="Times New Roman" w:eastAsiaTheme="minorHAnsi" w:hAnsi="Times New Roman" w:cs="Times New Roman"/>
          <w:sz w:val="24"/>
          <w:szCs w:val="24"/>
          <w:lang w:val="ro-RO"/>
        </w:rPr>
        <w:t>ă;</w:t>
      </w:r>
    </w:p>
    <w:p w:rsidR="00C047AE" w:rsidRDefault="00C047AE" w:rsidP="00D96C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1 laptop;</w:t>
      </w:r>
    </w:p>
    <w:p w:rsidR="00C047AE" w:rsidRPr="00C047AE" w:rsidRDefault="00C047AE" w:rsidP="00C047A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ro-RO"/>
        </w:rPr>
      </w:pPr>
      <w:r w:rsidRPr="00C047A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ro-RO"/>
        </w:rPr>
        <w:t xml:space="preserve">1 </w:t>
      </w:r>
      <w:hyperlink r:id="rId8" w:history="1">
        <w:proofErr w:type="spellStart"/>
        <w:r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v</w:t>
        </w:r>
        <w:r w:rsidRPr="00C047AE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ideoproiector</w:t>
        </w:r>
        <w:proofErr w:type="spellEnd"/>
      </w:hyperlink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;</w:t>
      </w:r>
    </w:p>
    <w:p w:rsidR="00E44F77" w:rsidRDefault="00E44F77" w:rsidP="00D96CE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alte bunuri existente în clasă:...........................................................................................</w:t>
      </w:r>
    </w:p>
    <w:p w:rsidR="00E44F77" w:rsidRDefault="00E44F77" w:rsidP="00E44F77">
      <w:pPr>
        <w:spacing w:after="0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47AE">
        <w:rPr>
          <w:rFonts w:ascii="Times New Roman" w:eastAsiaTheme="minorHAns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58A3">
        <w:rPr>
          <w:rFonts w:ascii="Times New Roman" w:eastAsiaTheme="minorHAnsi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30D3" w:rsidRDefault="00DE30D3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:rsidR="00094E73" w:rsidRDefault="00DE30D3" w:rsidP="00094E73">
      <w:pPr>
        <w:pStyle w:val="Titlu5"/>
        <w:shd w:val="clear" w:color="auto" w:fill="FFFFFF"/>
        <w:spacing w:before="0" w:after="480"/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val="ro-RO" w:eastAsia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A</w:t>
      </w:r>
      <w:r w:rsidRPr="00DE30D3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m luat la </w:t>
      </w: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cunoștință următoarele articole din </w:t>
      </w:r>
      <w:r w:rsidR="00D96CEC">
        <w:rPr>
          <w:rFonts w:ascii="Times New Roman" w:eastAsiaTheme="minorHAnsi" w:hAnsi="Times New Roman" w:cs="Times New Roman"/>
          <w:sz w:val="24"/>
          <w:szCs w:val="24"/>
          <w:lang w:val="ro-RO"/>
        </w:rPr>
        <w:t>Statu</w:t>
      </w:r>
      <w:r w:rsidR="00656826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l Elevului, nr. </w:t>
      </w:r>
      <w:r w:rsidR="00094E73" w:rsidRPr="00094E73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val="ro-RO" w:eastAsia="ro-RO"/>
        </w:rPr>
        <w:t>nr. 5.707 din 1 august 2024</w:t>
      </w:r>
      <w:r w:rsidR="00D24F7A">
        <w:rPr>
          <w:rFonts w:ascii="Segoe UI" w:eastAsia="Times New Roman" w:hAnsi="Segoe UI" w:cs="Segoe UI"/>
          <w:b/>
          <w:bCs/>
          <w:color w:val="000000"/>
          <w:spacing w:val="-5"/>
          <w:sz w:val="20"/>
          <w:szCs w:val="20"/>
          <w:lang w:val="ro-RO" w:eastAsia="ro-RO"/>
        </w:rPr>
        <w:t>:</w:t>
      </w:r>
    </w:p>
    <w:p w:rsidR="00094E73" w:rsidRDefault="00094E73" w:rsidP="00094E73">
      <w:pPr>
        <w:rPr>
          <w:lang w:val="ro-RO" w:eastAsia="ro-RO"/>
        </w:rPr>
      </w:pPr>
      <w:r>
        <w:rPr>
          <w:lang w:val="ro-RO" w:eastAsia="ro-RO"/>
        </w:rPr>
        <w:t>Articolul 14</w:t>
      </w:r>
    </w:p>
    <w:p w:rsidR="00094E73" w:rsidRDefault="00094E73" w:rsidP="00094E73">
      <w:pPr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</w:pPr>
      <w:proofErr w:type="spellStart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>Elevii</w:t>
      </w:r>
      <w:proofErr w:type="spellEnd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 xml:space="preserve"> </w:t>
      </w:r>
      <w:proofErr w:type="gramStart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 xml:space="preserve">au </w:t>
      </w:r>
      <w:proofErr w:type="spellStart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>următoarele</w:t>
      </w:r>
      <w:proofErr w:type="spellEnd"/>
      <w:proofErr w:type="gramEnd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3"/>
          <w:szCs w:val="23"/>
          <w:shd w:val="clear" w:color="auto" w:fill="FFFFFF"/>
          <w:lang w:val="fr-FR"/>
        </w:rPr>
        <w:t>îndatoriri</w:t>
      </w:r>
      <w:proofErr w:type="spellEnd"/>
      <w:r w:rsidRPr="005A6B5F">
        <w:rPr>
          <w:rFonts w:ascii="Verdana" w:hAnsi="Verdana"/>
          <w:b/>
          <w:color w:val="000000"/>
          <w:sz w:val="23"/>
          <w:szCs w:val="23"/>
          <w:shd w:val="clear" w:color="auto" w:fill="FFFFFF"/>
          <w:lang w:val="fr-FR"/>
        </w:rPr>
        <w:t>:</w:t>
      </w:r>
    </w:p>
    <w:p w:rsidR="00D24F7A" w:rsidRPr="00094E73" w:rsidRDefault="00D24F7A" w:rsidP="00094E73">
      <w:pPr>
        <w:rPr>
          <w:lang w:val="fr-FR" w:eastAsia="ro-RO"/>
        </w:rPr>
      </w:pPr>
      <w:bookmarkStart w:id="0" w:name="_GoBack"/>
      <w:bookmarkEnd w:id="0"/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</w:pP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-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</w:t>
      </w:r>
      <w:proofErr w:type="spellEnd"/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 xml:space="preserve"> a avea un comportament civilizat, adecvat mediului școlar;</w:t>
      </w:r>
    </w:p>
    <w:p w:rsidR="00DE30D3" w:rsidRDefault="00094E73" w:rsidP="00DE30D3">
      <w:pPr>
        <w:spacing w:after="0" w:line="240" w:lineRule="auto"/>
        <w:ind w:left="720"/>
        <w:contextualSpacing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  <w:t>-</w:t>
      </w:r>
      <w:r w:rsidRPr="00094E73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ro-RO"/>
        </w:rPr>
        <w:t> 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 a se prezenta la școală și la toate activitățile organizate de aceasta într-o ținută vestimentară decentă și adecvată și de a purta elementele de identificare în conformitate cu legislația în vigoare și cu regulamentele și hotărârile unității de învățământ preuniversitar;</w:t>
      </w: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</w:pPr>
      <w:proofErr w:type="spell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  <w:lastRenderedPageBreak/>
        <w:t>-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</w:t>
      </w:r>
      <w:proofErr w:type="spellEnd"/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 xml:space="preserve"> a păstra curățenia și a respecta liniștea și ordinea în perimetrul școlar;</w:t>
      </w: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  <w:t>-</w:t>
      </w:r>
      <w:r w:rsidRPr="00094E73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ro-RO"/>
        </w:rPr>
        <w:t> 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 a păstra integritatea și buna funcționare a bazei materiale a unității de învățământ preuniversitar. Obligația se aplică și în cazul manualelor școlare primite gratuit, beneficiarii primari având obligația restituirii acestora în stare bună, la sfârșitul anului școlar;</w:t>
      </w: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</w:pPr>
      <w:proofErr w:type="spell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  <w:t>-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</w:t>
      </w:r>
      <w:proofErr w:type="spellEnd"/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 xml:space="preserve"> a plăti contravaloarea eventualelor prejudicii aduse bazei materiale puse la dispoziția lor de către instituția de învățământ preuniversitar, în urma constatării culpei individuale;</w:t>
      </w:r>
    </w:p>
    <w:p w:rsidR="00094E73" w:rsidRPr="00094E73" w:rsidRDefault="00094E73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ro-RO"/>
        </w:rPr>
        <w:t>-</w:t>
      </w:r>
      <w:r w:rsidRPr="00094E73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ro-RO"/>
        </w:rPr>
        <w:t> </w:t>
      </w:r>
      <w:r w:rsidRPr="00094E73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ro-RO"/>
        </w:rPr>
        <w:t>de a avea asupra lor carnetul de elev, vizat la zi, și de a-l prezenta cadrelor didactice pentru trecerea notelor obținute în urma evaluărilor, precum și părinților/reprezentanților legali pentru luare la cunoștință în legătură cu situația școlară;</w:t>
      </w:r>
    </w:p>
    <w:p w:rsidR="00230241" w:rsidRDefault="00094E73" w:rsidP="00DE30D3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3"/>
          <w:szCs w:val="23"/>
          <w:shd w:val="clear" w:color="auto" w:fill="FFFFFF"/>
          <w:lang w:val="ro-RO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-</w:t>
      </w:r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ro-RO"/>
        </w:rPr>
        <w:t>de</w:t>
      </w:r>
      <w:proofErr w:type="spellEnd"/>
      <w:r w:rsidRPr="00094E73">
        <w:rPr>
          <w:rFonts w:ascii="Verdana" w:hAnsi="Verdana"/>
          <w:color w:val="000000"/>
          <w:sz w:val="23"/>
          <w:szCs w:val="23"/>
          <w:shd w:val="clear" w:color="auto" w:fill="FFFFFF"/>
          <w:lang w:val="ro-RO"/>
        </w:rPr>
        <w:t xml:space="preserve"> a anunța, în caz de îmbolnăvire, profesorul diriginte/profesorul pentru învățământul primar/educatorul, direct sau prin intermediul părinților/reprezentanților legali, de a se prezenta la cabinetul medical și, în funcție de recomandările medicului, mai ales în cazul unei afecțiuni contagioase, să nu pună în pericol sănătatea colegilor și a personalului din unitate.</w:t>
      </w: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3"/>
          <w:szCs w:val="23"/>
          <w:shd w:val="clear" w:color="auto" w:fill="FFFFFF"/>
          <w:lang w:val="ro-RO"/>
        </w:rPr>
      </w:pP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capden"/>
          <w:rFonts w:ascii="Verdana" w:hAnsi="Verdana"/>
          <w:b/>
          <w:bCs/>
          <w:color w:val="A52A2A"/>
          <w:sz w:val="21"/>
          <w:szCs w:val="21"/>
          <w:bdr w:val="none" w:sz="0" w:space="0" w:color="auto" w:frame="1"/>
          <w:shd w:val="clear" w:color="auto" w:fill="FFFFFF"/>
        </w:rPr>
      </w:pPr>
      <w:proofErr w:type="spellStart"/>
      <w:r>
        <w:rPr>
          <w:rStyle w:val="scapden"/>
          <w:rFonts w:ascii="Verdana" w:hAnsi="Verdana"/>
          <w:b/>
          <w:bCs/>
          <w:color w:val="A52A2A"/>
          <w:sz w:val="21"/>
          <w:szCs w:val="21"/>
          <w:bdr w:val="none" w:sz="0" w:space="0" w:color="auto" w:frame="1"/>
          <w:shd w:val="clear" w:color="auto" w:fill="FFFFFF"/>
        </w:rPr>
        <w:t>Interdicții</w:t>
      </w:r>
      <w:proofErr w:type="spellEnd"/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  <w:proofErr w:type="spellStart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>Articolul</w:t>
      </w:r>
      <w:proofErr w:type="spellEnd"/>
      <w:r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  <w:t xml:space="preserve"> 15</w:t>
      </w: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Style w:val="sartttl"/>
          <w:rFonts w:ascii="Verdana" w:hAnsi="Verdana"/>
          <w:b/>
          <w:bCs/>
          <w:color w:val="00008B"/>
          <w:sz w:val="17"/>
          <w:szCs w:val="17"/>
          <w:bdr w:val="none" w:sz="0" w:space="0" w:color="auto" w:frame="1"/>
          <w:shd w:val="clear" w:color="auto" w:fill="FFFFFF"/>
        </w:rPr>
      </w:pPr>
    </w:p>
    <w:p w:rsidR="00094E73" w:rsidRDefault="00094E73" w:rsidP="00DE30D3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-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utilizeze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telefoanele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mobile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echipament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comunicații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electronice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timpul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desfășurării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orelor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curs,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inclusiv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timpul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activităților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educaționale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care se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desfășoară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afara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unităților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învățământ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excepția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utilizării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scop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educativ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acordul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cadrului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didactic,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timpul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pauzelor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spațiile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autorizate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explicit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regulamentul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intern al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unității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învățământ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tot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parcursul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programului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școlar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telefoanele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mobile ale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elevilor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depuse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într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-un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spațiu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sigur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special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amenajat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fiecare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sală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clasă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la care are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acces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profesorul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diriginte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directorul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unității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învățământ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iar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lipsa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didactic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desemnat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să</w:t>
      </w:r>
      <w:proofErr w:type="spellEnd"/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efectueze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serviciul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școală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Nerespectarea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acestor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prevederi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poate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duce la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preluarea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echipamentului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personalul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didactic/didactic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auxiliar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unității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învățământ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restituirii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lui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finalizarea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orelor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curs din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ziua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respectivă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mod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obligatoriu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părinți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reprezentanți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legali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beneficiarilor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primari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minori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elevi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caz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conform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regulamentului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intern al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unității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învățământ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</w:p>
    <w:p w:rsidR="00D24F7A" w:rsidRPr="00D24F7A" w:rsidRDefault="00D24F7A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 w:rsidRPr="00D24F7A">
        <w:rPr>
          <w:rFonts w:ascii="Verdana" w:hAnsi="Verdana"/>
          <w:color w:val="000000"/>
          <w:sz w:val="23"/>
          <w:szCs w:val="23"/>
          <w:shd w:val="clear" w:color="auto" w:fill="FFFFFF"/>
          <w:lang w:val="fr-FR"/>
        </w:rPr>
        <w:t>-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aibă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comportamente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jignitoare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indecente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intimidare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discriminare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manifeste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violență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limbaj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comportament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față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colegi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față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personalul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unității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gram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proofErr w:type="gram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;</w:t>
      </w:r>
    </w:p>
    <w:p w:rsidR="00D24F7A" w:rsidRPr="00D24F7A" w:rsidRDefault="00D24F7A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 w:rsidRPr="00D24F7A"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  <w:t>-</w:t>
      </w:r>
      <w:r w:rsidRPr="00D24F7A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fr-FR"/>
        </w:rPr>
        <w:t> 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provoace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instige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participe la acte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violență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unitatea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afara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;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  <w:t>-</w:t>
      </w:r>
      <w:r w:rsidRPr="00D24F7A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fr-FR"/>
        </w:rPr>
        <w:t> 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părăsească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perimetrul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unității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timpul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programului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școlar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excepția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situațiilor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prevăzute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regulamentul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organizare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funcționare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al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unității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sau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situațiilor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urgență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fiindu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-le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consemnate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absențele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catalogul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clasei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.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Elevii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majori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pot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părăsi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perimetrul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unității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timpul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programului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școlar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informarea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profesorului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diriginte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/a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conducerii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unității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de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fiindu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-le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consemnate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absențele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catalogul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clasei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;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  <w:t>-</w:t>
      </w:r>
      <w:r w:rsidRPr="00D24F7A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fr-FR"/>
        </w:rPr>
        <w:t> 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utilizeze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un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limbaj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trivial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sau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invective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perimetrul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școlar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;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  <w:lang w:val="fr-FR"/>
        </w:rPr>
        <w:t>-</w:t>
      </w:r>
      <w:r w:rsidRPr="00D24F7A"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  <w:lang w:val="fr-FR"/>
        </w:rPr>
        <w:t> 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invite/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faciliteze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intrarea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școală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persoanelor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străine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fără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acordul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conducerii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școlii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și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al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educatorului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/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profesorului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pentru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învățământul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primar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/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profesorului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 xml:space="preserve"> </w:t>
      </w:r>
      <w:proofErr w:type="spellStart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diriginte</w:t>
      </w:r>
      <w:proofErr w:type="spellEnd"/>
      <w:r w:rsidRPr="00D24F7A"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  <w:lang w:val="fr-FR"/>
        </w:rPr>
        <w:t>.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Fonts w:ascii="Verdana" w:hAnsi="Verdana"/>
          <w:b/>
          <w:bCs/>
          <w:color w:val="A52A2A"/>
          <w:sz w:val="21"/>
          <w:szCs w:val="21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A52A2A"/>
          <w:sz w:val="21"/>
          <w:szCs w:val="21"/>
          <w:shd w:val="clear" w:color="auto" w:fill="FFFFFF"/>
        </w:rPr>
        <w:t>Sancționarea</w:t>
      </w:r>
      <w:proofErr w:type="spellEnd"/>
      <w:r>
        <w:rPr>
          <w:rFonts w:ascii="Verdana" w:hAnsi="Verdana"/>
          <w:b/>
          <w:bCs/>
          <w:color w:val="A52A2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A52A2A"/>
          <w:sz w:val="21"/>
          <w:szCs w:val="21"/>
          <w:shd w:val="clear" w:color="auto" w:fill="FFFFFF"/>
        </w:rPr>
        <w:t>elevilor</w:t>
      </w:r>
      <w:proofErr w:type="spellEnd"/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a)</w:t>
      </w:r>
      <w:proofErr w:type="spellStart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observație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b)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mustrare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scrisă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D24F7A" w:rsidRDefault="00D24F7A" w:rsidP="00DE30D3">
      <w:pPr>
        <w:spacing w:after="0" w:line="240" w:lineRule="auto"/>
        <w:ind w:left="720"/>
        <w:contextualSpacing/>
        <w:jc w:val="both"/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c)</w:t>
      </w:r>
      <w:r>
        <w:rPr>
          <w:rStyle w:val="sli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retragerea</w:t>
      </w:r>
      <w:proofErr w:type="spellEnd"/>
      <w:proofErr w:type="gram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temporară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durata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întregului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an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școlar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burselor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care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beneficiază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elevul</w:t>
      </w:r>
      <w:proofErr w:type="spellEnd"/>
      <w:r>
        <w:rPr>
          <w:rStyle w:val="sli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;</w:t>
      </w:r>
    </w:p>
    <w:p w:rsidR="005A6B5F" w:rsidRDefault="005A6B5F" w:rsidP="00DE30D3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proofErr w:type="spellStart"/>
      <w:proofErr w:type="gramStart"/>
      <w:r>
        <w:rPr>
          <w:rStyle w:val="sli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T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oate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sancțiunile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aplicate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comunică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individual,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scris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atât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elevilor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cât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și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părinților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reprezentanților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legali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Sancțiunea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aplică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momentul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comunicării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acesteia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ulterior,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caz</w:t>
      </w:r>
      <w:proofErr w:type="spellEnd"/>
      <w:r>
        <w:rPr>
          <w:rFonts w:ascii="Verdana" w:hAnsi="Verdana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5A6B5F" w:rsidRDefault="005A6B5F" w:rsidP="00DE30D3">
      <w:pPr>
        <w:spacing w:after="0" w:line="240" w:lineRule="auto"/>
        <w:ind w:left="720"/>
        <w:contextualSpacing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5A6B5F" w:rsidRPr="005A6B5F" w:rsidRDefault="005A6B5F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o-RO"/>
        </w:rPr>
      </w:pP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Elevii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care se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fac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responsabili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deteriorarea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sau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sustragerea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bunurilor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unității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învățământ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sunt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obligați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să</w:t>
      </w:r>
      <w:proofErr w:type="spellEnd"/>
      <w:proofErr w:type="gram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suporte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în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conformitate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cu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prevederile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art. 1.357</w:t>
        </w:r>
      </w:hyperlink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 - </w:t>
      </w:r>
      <w:hyperlink r:id="rId10" w:history="1"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1.374 din </w:t>
        </w:r>
        <w:proofErr w:type="spellStart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Legea</w:t>
        </w:r>
        <w:proofErr w:type="spellEnd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nr. 287/2009 </w:t>
        </w:r>
        <w:proofErr w:type="spellStart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privind</w:t>
        </w:r>
        <w:proofErr w:type="spellEnd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Codul</w:t>
        </w:r>
        <w:proofErr w:type="spellEnd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 xml:space="preserve"> civil, </w:t>
        </w:r>
        <w:proofErr w:type="spellStart"/>
        <w:r w:rsidRPr="005A6B5F">
          <w:rPr>
            <w:rFonts w:ascii="Verdana" w:hAnsi="Verdana"/>
            <w:b/>
            <w:color w:val="428BCA"/>
            <w:sz w:val="28"/>
            <w:szCs w:val="28"/>
            <w:bdr w:val="none" w:sz="0" w:space="0" w:color="auto" w:frame="1"/>
            <w:shd w:val="clear" w:color="auto" w:fill="FFFFFF"/>
          </w:rPr>
          <w:t>republicată</w:t>
        </w:r>
        <w:proofErr w:type="spellEnd"/>
      </w:hyperlink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cu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modificările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și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completările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ulterioare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toate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cheltuielile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ocazionate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lucrările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necesare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reparațiilor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sau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după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caz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să</w:t>
      </w:r>
      <w:proofErr w:type="spellEnd"/>
      <w:proofErr w:type="gram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restituie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bunurile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ori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să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suporte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toate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cheltuielile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înlocuirea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bunurilor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deteriorate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sau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sustrase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În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cazul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elevilor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minori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fără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capacitate de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exercițiu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obligația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restituirii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bunurilor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sau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suportării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tuturor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cheltuielilor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pentru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înlocuirea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bunurilor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deteriorate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sau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sustrase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revine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părinților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/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reprezentanților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legali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ai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acestora</w:t>
      </w:r>
      <w:proofErr w:type="spellEnd"/>
      <w:r w:rsidRPr="005A6B5F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.</w:t>
      </w:r>
    </w:p>
    <w:p w:rsidR="00D24F7A" w:rsidRPr="00094E73" w:rsidRDefault="00D24F7A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:rsidR="00D24F7A" w:rsidRPr="00D24F7A" w:rsidRDefault="00D24F7A" w:rsidP="00603FD7">
      <w:pPr>
        <w:spacing w:after="0" w:line="240" w:lineRule="auto"/>
        <w:ind w:firstLine="720"/>
        <w:contextualSpacing/>
        <w:jc w:val="both"/>
      </w:pPr>
    </w:p>
    <w:p w:rsidR="006858A3" w:rsidRDefault="005A6B5F" w:rsidP="00603FD7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parintelui</w:t>
      </w:r>
      <w:proofErr w:type="spellEnd"/>
      <w:r w:rsidR="006858A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A7369">
        <w:rPr>
          <w:rFonts w:ascii="Times New Roman" w:eastAsiaTheme="minorHAnsi" w:hAnsi="Times New Roman" w:cs="Times New Roman"/>
          <w:sz w:val="24"/>
          <w:szCs w:val="24"/>
        </w:rPr>
        <w:t xml:space="preserve">din </w:t>
      </w:r>
      <w:proofErr w:type="spellStart"/>
      <w:r w:rsidR="003A7369">
        <w:rPr>
          <w:rFonts w:ascii="Times New Roman" w:eastAsiaTheme="minorHAnsi" w:hAnsi="Times New Roman" w:cs="Times New Roman"/>
          <w:sz w:val="24"/>
          <w:szCs w:val="24"/>
        </w:rPr>
        <w:t>clasa</w:t>
      </w:r>
      <w:proofErr w:type="spellEnd"/>
      <w:r w:rsidR="003A7369">
        <w:rPr>
          <w:rFonts w:ascii="Times New Roman" w:eastAsiaTheme="minorHAnsi" w:hAnsi="Times New Roman" w:cs="Times New Roman"/>
          <w:sz w:val="24"/>
          <w:szCs w:val="24"/>
        </w:rPr>
        <w:t xml:space="preserve"> a …</w:t>
      </w:r>
      <w:proofErr w:type="gramStart"/>
      <w:r w:rsidR="003A7369">
        <w:rPr>
          <w:rFonts w:ascii="Times New Roman" w:eastAsiaTheme="minorHAnsi" w:hAnsi="Times New Roman" w:cs="Times New Roman"/>
          <w:sz w:val="24"/>
          <w:szCs w:val="24"/>
        </w:rPr>
        <w:t>… ,</w:t>
      </w:r>
      <w:proofErr w:type="gramEnd"/>
      <w:r w:rsidR="003A736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3A7369">
        <w:rPr>
          <w:rFonts w:ascii="Times New Roman" w:eastAsiaTheme="minorHAnsi" w:hAnsi="Times New Roman" w:cs="Times New Roman"/>
          <w:sz w:val="24"/>
          <w:szCs w:val="24"/>
        </w:rPr>
        <w:t>Școala</w:t>
      </w:r>
      <w:proofErr w:type="spellEnd"/>
      <w:r w:rsidR="003A7369">
        <w:rPr>
          <w:rFonts w:ascii="Times New Roman" w:eastAsiaTheme="minorHAnsi" w:hAnsi="Times New Roman" w:cs="Times New Roman"/>
          <w:sz w:val="24"/>
          <w:szCs w:val="24"/>
        </w:rPr>
        <w:t xml:space="preserve"> …………………………………………</w:t>
      </w:r>
    </w:p>
    <w:p w:rsidR="003A7369" w:rsidRDefault="003A7369" w:rsidP="00603FD7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566"/>
        <w:gridCol w:w="6293"/>
        <w:gridCol w:w="2384"/>
      </w:tblGrid>
      <w:tr w:rsidR="003A7369" w:rsidTr="0044612C">
        <w:tc>
          <w:tcPr>
            <w:tcW w:w="558" w:type="dxa"/>
          </w:tcPr>
          <w:p w:rsidR="003A7369" w:rsidRDefault="003A7369" w:rsidP="003A7369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3A7369" w:rsidRPr="003A7369" w:rsidRDefault="003A7369" w:rsidP="005A6B5F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736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Numele</w:t>
            </w:r>
            <w:proofErr w:type="spellEnd"/>
            <w:r w:rsidRPr="003A736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A6B5F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parintelui</w:t>
            </w:r>
            <w:proofErr w:type="spellEnd"/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A7369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8"/>
                <w:szCs w:val="28"/>
              </w:rPr>
              <w:t>Semnătura</w:t>
            </w:r>
            <w:proofErr w:type="spellEnd"/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="00294DB9">
              <w:rPr>
                <w:rFonts w:asciiTheme="majorBidi" w:eastAsiaTheme="minorHAnsi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17.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18.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20.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21.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22.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23.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24.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25.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26.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27.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28.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  <w:tr w:rsidR="003A7369" w:rsidTr="0044612C">
        <w:tc>
          <w:tcPr>
            <w:tcW w:w="558" w:type="dxa"/>
          </w:tcPr>
          <w:p w:rsidR="003A7369" w:rsidRPr="003A7369" w:rsidRDefault="0044612C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29.</w:t>
            </w:r>
          </w:p>
        </w:tc>
        <w:tc>
          <w:tcPr>
            <w:tcW w:w="6300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385" w:type="dxa"/>
          </w:tcPr>
          <w:p w:rsidR="003A7369" w:rsidRPr="003A7369" w:rsidRDefault="003A7369" w:rsidP="003A7369">
            <w:pPr>
              <w:contextualSpacing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</w:tr>
    </w:tbl>
    <w:p w:rsidR="003A7369" w:rsidRPr="006858A3" w:rsidRDefault="003A7369" w:rsidP="003A736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F7662F" w:rsidRPr="00C047AE" w:rsidRDefault="00F7662F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val="ro-RO"/>
        </w:rPr>
      </w:pPr>
    </w:p>
    <w:p w:rsidR="00603FD7" w:rsidRDefault="00E44F77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Dept pentru care s-a încheiat prezentul proces-verbal.</w:t>
      </w:r>
    </w:p>
    <w:p w:rsidR="00D96CEC" w:rsidRDefault="00D96CEC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:rsidR="00D96CEC" w:rsidRDefault="00D96CEC" w:rsidP="00DE30D3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ro-RO"/>
        </w:rPr>
      </w:pPr>
    </w:p>
    <w:p w:rsidR="00D96CEC" w:rsidRDefault="00D96CEC" w:rsidP="00D96CEC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>Am predat,                                                                                Am primit,</w:t>
      </w:r>
    </w:p>
    <w:p w:rsidR="00D96CEC" w:rsidRPr="00C047AE" w:rsidRDefault="00D96CEC" w:rsidP="00D96C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5F0E1E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Director, </w:t>
      </w: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="00C047AE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                      Diriginte/</w:t>
      </w:r>
      <w:proofErr w:type="spellStart"/>
      <w:r w:rsidR="00C047AE">
        <w:rPr>
          <w:rFonts w:ascii="Times New Roman" w:eastAsiaTheme="minorHAnsi" w:hAnsi="Times New Roman" w:cs="Times New Roman"/>
          <w:sz w:val="24"/>
          <w:szCs w:val="24"/>
        </w:rPr>
        <w:t>Învățător</w:t>
      </w:r>
      <w:proofErr w:type="spellEnd"/>
    </w:p>
    <w:p w:rsidR="00D96CEC" w:rsidRPr="005F0E1E" w:rsidRDefault="00D96CEC" w:rsidP="00C047A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o-RO"/>
        </w:rPr>
      </w:pPr>
      <w:r w:rsidRPr="005F0E1E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prof. </w:t>
      </w:r>
      <w:r w:rsidR="00C047AE"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Ciobanu Elizabet Iuliana            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val="ro-RO"/>
        </w:rPr>
        <w:t xml:space="preserve">prof. </w:t>
      </w:r>
    </w:p>
    <w:p w:rsidR="00E63609" w:rsidRDefault="00E63609"/>
    <w:sectPr w:rsidR="00E63609" w:rsidSect="00DE30D3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2B" w:rsidRDefault="00613A2B" w:rsidP="005F0E1E">
      <w:pPr>
        <w:spacing w:after="0" w:line="240" w:lineRule="auto"/>
      </w:pPr>
      <w:r>
        <w:separator/>
      </w:r>
    </w:p>
  </w:endnote>
  <w:endnote w:type="continuationSeparator" w:id="0">
    <w:p w:rsidR="00613A2B" w:rsidRDefault="00613A2B" w:rsidP="005F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77" w:rsidRPr="00E44F77" w:rsidRDefault="00C047AE" w:rsidP="00C047AE">
    <w:pPr>
      <w:pStyle w:val="Subsol"/>
      <w:rPr>
        <w:rFonts w:ascii="Times New Roman" w:hAnsi="Times New Roman" w:cs="Times New Roman"/>
        <w:lang w:val="ro-RO"/>
      </w:rPr>
    </w:pPr>
    <w:r>
      <w:rPr>
        <w:rFonts w:ascii="Times New Roman" w:hAnsi="Times New Roman" w:cs="Times New Roman"/>
        <w:lang w:val="ro-RO"/>
      </w:rPr>
      <w:t>Școala „Horia Stamatin” Bogdănești</w:t>
    </w:r>
    <w:r w:rsidR="00E44F77" w:rsidRPr="00E44F77">
      <w:rPr>
        <w:rFonts w:ascii="Times New Roman" w:hAnsi="Times New Roman" w:cs="Times New Roman"/>
        <w:lang w:val="ro-RO"/>
      </w:rPr>
      <w:t xml:space="preserve">, </w:t>
    </w:r>
    <w:r>
      <w:rPr>
        <w:rFonts w:ascii="Times New Roman" w:hAnsi="Times New Roman" w:cs="Times New Roman"/>
        <w:lang w:val="ro-RO"/>
      </w:rPr>
      <w:t>2024-2025</w:t>
    </w:r>
    <w:r w:rsidR="00E44F77" w:rsidRPr="00E44F77">
      <w:rPr>
        <w:rFonts w:ascii="Times New Roman" w:hAnsi="Times New Roman" w:cs="Times New Roman"/>
        <w:lang w:val="ro-RO"/>
      </w:rPr>
      <w:t>, proces-verbal predare-primire sală de clasă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2B" w:rsidRDefault="00613A2B" w:rsidP="005F0E1E">
      <w:pPr>
        <w:spacing w:after="0" w:line="240" w:lineRule="auto"/>
      </w:pPr>
      <w:r>
        <w:separator/>
      </w:r>
    </w:p>
  </w:footnote>
  <w:footnote w:type="continuationSeparator" w:id="0">
    <w:p w:rsidR="00613A2B" w:rsidRDefault="00613A2B" w:rsidP="005F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E1E" w:rsidRPr="00294DB9" w:rsidRDefault="00AD6214">
    <w:pPr>
      <w:pStyle w:val="Antet"/>
      <w:contextualSpacing/>
      <w:rPr>
        <w:rFonts w:asciiTheme="majorBidi" w:hAnsiTheme="majorBidi" w:cstheme="majorBidi"/>
        <w:b/>
        <w:bCs/>
        <w:i/>
        <w:iCs/>
        <w:sz w:val="24"/>
        <w:szCs w:val="24"/>
      </w:rPr>
    </w:pPr>
    <w:proofErr w:type="spellStart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>Școala</w:t>
    </w:r>
    <w:proofErr w:type="spellEnd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 xml:space="preserve"> </w:t>
    </w:r>
    <w:proofErr w:type="spellStart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>Gimnaziala</w:t>
    </w:r>
    <w:proofErr w:type="spellEnd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 xml:space="preserve"> “</w:t>
    </w:r>
    <w:proofErr w:type="spellStart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>Horia</w:t>
    </w:r>
    <w:proofErr w:type="spellEnd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 xml:space="preserve"> </w:t>
    </w:r>
    <w:proofErr w:type="spellStart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>Stamatin</w:t>
    </w:r>
    <w:proofErr w:type="spellEnd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 xml:space="preserve">” </w:t>
    </w:r>
    <w:proofErr w:type="spellStart"/>
    <w:r w:rsidRPr="00294DB9">
      <w:rPr>
        <w:rFonts w:asciiTheme="majorBidi" w:hAnsiTheme="majorBidi" w:cstheme="majorBidi"/>
        <w:b/>
        <w:bCs/>
        <w:i/>
        <w:iCs/>
        <w:sz w:val="24"/>
        <w:szCs w:val="24"/>
      </w:rPr>
      <w:t>Bogdănești</w:t>
    </w:r>
    <w:proofErr w:type="spellEnd"/>
  </w:p>
  <w:p w:rsidR="00AD6214" w:rsidRPr="00294DB9" w:rsidRDefault="00AD6214">
    <w:pPr>
      <w:pStyle w:val="Antet"/>
      <w:contextualSpacing/>
      <w:rPr>
        <w:sz w:val="24"/>
        <w:szCs w:val="24"/>
      </w:rPr>
    </w:pPr>
  </w:p>
  <w:p w:rsidR="00AD6214" w:rsidRPr="00294DB9" w:rsidRDefault="00AD6214">
    <w:pPr>
      <w:pStyle w:val="Antet"/>
      <w:contextualSpacing/>
      <w:rPr>
        <w:rFonts w:asciiTheme="majorBidi" w:hAnsiTheme="majorBidi" w:cstheme="majorBidi"/>
        <w:b/>
        <w:bCs/>
        <w:sz w:val="24"/>
        <w:szCs w:val="24"/>
      </w:rPr>
    </w:pPr>
    <w:r w:rsidRPr="00294DB9">
      <w:rPr>
        <w:rFonts w:asciiTheme="majorBidi" w:hAnsiTheme="majorBidi" w:cstheme="majorBidi"/>
        <w:b/>
        <w:bCs/>
        <w:sz w:val="24"/>
        <w:szCs w:val="24"/>
      </w:rPr>
      <w:t>Nr.  ……………….din ……………………………..</w:t>
    </w:r>
  </w:p>
  <w:p w:rsidR="005F0E1E" w:rsidRDefault="005F0E1E">
    <w:pPr>
      <w:pStyle w:val="Antet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5BE"/>
    <w:multiLevelType w:val="hybridMultilevel"/>
    <w:tmpl w:val="B3E29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0E1E"/>
    <w:rsid w:val="00094E73"/>
    <w:rsid w:val="000F35DA"/>
    <w:rsid w:val="00134A98"/>
    <w:rsid w:val="00230241"/>
    <w:rsid w:val="002811BC"/>
    <w:rsid w:val="00294DB9"/>
    <w:rsid w:val="00395409"/>
    <w:rsid w:val="003A7369"/>
    <w:rsid w:val="0044612C"/>
    <w:rsid w:val="005132EA"/>
    <w:rsid w:val="005A6B5F"/>
    <w:rsid w:val="005F0E1E"/>
    <w:rsid w:val="00603FD7"/>
    <w:rsid w:val="00613A2B"/>
    <w:rsid w:val="00656826"/>
    <w:rsid w:val="006663F1"/>
    <w:rsid w:val="006858A3"/>
    <w:rsid w:val="007324F1"/>
    <w:rsid w:val="00956966"/>
    <w:rsid w:val="00986560"/>
    <w:rsid w:val="009C7F65"/>
    <w:rsid w:val="00AD6214"/>
    <w:rsid w:val="00B40B7A"/>
    <w:rsid w:val="00C047AE"/>
    <w:rsid w:val="00D24F7A"/>
    <w:rsid w:val="00D7397A"/>
    <w:rsid w:val="00D96CEC"/>
    <w:rsid w:val="00DE30D3"/>
    <w:rsid w:val="00E04F50"/>
    <w:rsid w:val="00E44F77"/>
    <w:rsid w:val="00E4772A"/>
    <w:rsid w:val="00E63609"/>
    <w:rsid w:val="00F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98"/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94E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F0E1E"/>
  </w:style>
  <w:style w:type="paragraph" w:styleId="Subsol">
    <w:name w:val="footer"/>
    <w:basedOn w:val="Normal"/>
    <w:link w:val="SubsolCaracter"/>
    <w:uiPriority w:val="99"/>
    <w:unhideWhenUsed/>
    <w:rsid w:val="005F0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F0E1E"/>
  </w:style>
  <w:style w:type="character" w:styleId="Hyperlink">
    <w:name w:val="Hyperlink"/>
    <w:basedOn w:val="Fontdeparagrafimplicit"/>
    <w:uiPriority w:val="99"/>
    <w:unhideWhenUsed/>
    <w:rsid w:val="00603FD7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3A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94E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lit">
    <w:name w:val="s_lit"/>
    <w:basedOn w:val="Fontdeparagrafimplicit"/>
    <w:rsid w:val="00094E73"/>
  </w:style>
  <w:style w:type="character" w:customStyle="1" w:styleId="slitbdy">
    <w:name w:val="s_lit_bdy"/>
    <w:basedOn w:val="Fontdeparagrafimplicit"/>
    <w:rsid w:val="00094E73"/>
  </w:style>
  <w:style w:type="character" w:customStyle="1" w:styleId="slitttl">
    <w:name w:val="s_lit_ttl"/>
    <w:basedOn w:val="Fontdeparagrafimplicit"/>
    <w:rsid w:val="00094E73"/>
  </w:style>
  <w:style w:type="character" w:customStyle="1" w:styleId="scapden">
    <w:name w:val="s_cap_den"/>
    <w:basedOn w:val="Fontdeparagrafimplicit"/>
    <w:rsid w:val="00094E73"/>
  </w:style>
  <w:style w:type="character" w:customStyle="1" w:styleId="sartttl">
    <w:name w:val="s_art_ttl"/>
    <w:basedOn w:val="Fontdeparagrafimplicit"/>
    <w:rsid w:val="00094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g.ro/videoproiector-portabil-vaxiuja-usb-full-hd-cu-led-uri-1800-lumeni-mini-proiector-2000-1-galben-alb-21-a10mntyy/pd/DCH2F1MB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282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2821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1158</Words>
  <Characters>6723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cioba</cp:lastModifiedBy>
  <cp:revision>16</cp:revision>
  <dcterms:created xsi:type="dcterms:W3CDTF">2019-09-08T07:38:00Z</dcterms:created>
  <dcterms:modified xsi:type="dcterms:W3CDTF">2024-09-07T07:49:00Z</dcterms:modified>
</cp:coreProperties>
</file>